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0" w:after="0" w:line="276"/>
        <w:ind w:right="-427" w:left="2880" w:firstLine="0"/>
        <w:jc w:val="left"/>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В Акционерное Общество </w:t>
      </w:r>
      <w:r>
        <w:rPr>
          <w:rFonts w:ascii="Times New Roman" w:hAnsi="Times New Roman" w:cs="Times New Roman" w:eastAsia="Times New Roman"/>
          <w:b/>
          <w:color w:val="000000"/>
          <w:spacing w:val="0"/>
          <w:position w:val="0"/>
          <w:sz w:val="26"/>
          <w:shd w:fill="FFFFFF" w:val="clear"/>
        </w:rPr>
        <w:t xml:space="preserve">«</w:t>
      </w:r>
      <w:r>
        <w:rPr>
          <w:rFonts w:ascii="Times New Roman" w:hAnsi="Times New Roman" w:cs="Times New Roman" w:eastAsia="Times New Roman"/>
          <w:b/>
          <w:color w:val="000000"/>
          <w:spacing w:val="0"/>
          <w:position w:val="0"/>
          <w:sz w:val="26"/>
          <w:shd w:fill="FFFFFF" w:val="clear"/>
        </w:rPr>
        <w:t xml:space="preserve">Федеральная Пассажирская Компания</w:t>
      </w:r>
      <w:r>
        <w:rPr>
          <w:rFonts w:ascii="Times New Roman" w:hAnsi="Times New Roman" w:cs="Times New Roman" w:eastAsia="Times New Roman"/>
          <w:b/>
          <w:color w:val="000000"/>
          <w:spacing w:val="0"/>
          <w:position w:val="0"/>
          <w:sz w:val="26"/>
          <w:shd w:fill="FFFFFF" w:val="clear"/>
        </w:rPr>
        <w:t xml:space="preserve">» (</w:t>
      </w:r>
      <w:r>
        <w:rPr>
          <w:rFonts w:ascii="Times New Roman" w:hAnsi="Times New Roman" w:cs="Times New Roman" w:eastAsia="Times New Roman"/>
          <w:b/>
          <w:color w:val="000000"/>
          <w:spacing w:val="0"/>
          <w:position w:val="0"/>
          <w:sz w:val="26"/>
          <w:shd w:fill="FFFFFF" w:val="clear"/>
        </w:rPr>
        <w:t xml:space="preserve">АО </w:t>
      </w:r>
      <w:r>
        <w:rPr>
          <w:rFonts w:ascii="Times New Roman" w:hAnsi="Times New Roman" w:cs="Times New Roman" w:eastAsia="Times New Roman"/>
          <w:b/>
          <w:color w:val="000000"/>
          <w:spacing w:val="0"/>
          <w:position w:val="0"/>
          <w:sz w:val="26"/>
          <w:shd w:fill="FFFFFF" w:val="clear"/>
        </w:rPr>
        <w:t xml:space="preserve">«</w:t>
      </w:r>
      <w:r>
        <w:rPr>
          <w:rFonts w:ascii="Times New Roman" w:hAnsi="Times New Roman" w:cs="Times New Roman" w:eastAsia="Times New Roman"/>
          <w:b/>
          <w:color w:val="000000"/>
          <w:spacing w:val="0"/>
          <w:position w:val="0"/>
          <w:sz w:val="26"/>
          <w:shd w:fill="FFFFFF" w:val="clear"/>
        </w:rPr>
        <w:t xml:space="preserve">ФПК)</w:t>
      </w:r>
    </w:p>
    <w:p>
      <w:pPr>
        <w:keepNext w:val="true"/>
        <w:keepLines w:val="true"/>
        <w:spacing w:before="0" w:after="0" w:line="276"/>
        <w:ind w:right="0" w:left="2880" w:firstLine="66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107078, </w:t>
      </w:r>
      <w:r>
        <w:rPr>
          <w:rFonts w:ascii="Times New Roman" w:hAnsi="Times New Roman" w:cs="Times New Roman" w:eastAsia="Times New Roman"/>
          <w:color w:val="auto"/>
          <w:spacing w:val="0"/>
          <w:position w:val="0"/>
          <w:sz w:val="26"/>
          <w:shd w:fill="auto" w:val="clear"/>
        </w:rPr>
        <w:t xml:space="preserve">Москва, ул.Маши Порываевой, дом 34</w:t>
      </w:r>
    </w:p>
    <w:p>
      <w:pPr>
        <w:keepNext w:val="true"/>
        <w:keepLines w:val="true"/>
        <w:spacing w:before="0" w:after="0" w:line="276"/>
        <w:ind w:right="0" w:left="2880" w:firstLine="0"/>
        <w:jc w:val="left"/>
        <w:rPr>
          <w:rFonts w:ascii="Times New Roman" w:hAnsi="Times New Roman" w:cs="Times New Roman" w:eastAsia="Times New Roman"/>
          <w:color w:val="000000"/>
          <w:spacing w:val="0"/>
          <w:position w:val="0"/>
          <w:sz w:val="26"/>
          <w:shd w:fill="FFFFFF" w:val="clear"/>
        </w:rPr>
      </w:pPr>
    </w:p>
    <w:p>
      <w:pPr>
        <w:keepNext w:val="true"/>
        <w:keepLines w:val="true"/>
        <w:spacing w:before="0" w:after="0" w:line="276"/>
        <w:ind w:right="0" w:left="2880" w:firstLine="0"/>
        <w:jc w:val="left"/>
        <w:rPr>
          <w:rFonts w:ascii="Times New Roman" w:hAnsi="Times New Roman" w:cs="Times New Roman" w:eastAsia="Times New Roman"/>
          <w:color w:val="000000"/>
          <w:spacing w:val="0"/>
          <w:position w:val="0"/>
          <w:sz w:val="26"/>
          <w:u w:val="single"/>
          <w:shd w:fill="FFFFFF" w:val="clear"/>
        </w:rPr>
      </w:pPr>
      <w:r>
        <w:rPr>
          <w:rFonts w:ascii="Times New Roman" w:hAnsi="Times New Roman" w:cs="Times New Roman" w:eastAsia="Times New Roman"/>
          <w:color w:val="000000"/>
          <w:spacing w:val="0"/>
          <w:position w:val="0"/>
          <w:sz w:val="26"/>
          <w:u w:val="single"/>
          <w:shd w:fill="FFFFFF" w:val="clear"/>
        </w:rPr>
        <w:t xml:space="preserve">Заявитель:</w:t>
      </w:r>
    </w:p>
    <w:p>
      <w:pPr>
        <w:keepNext w:val="true"/>
        <w:keepLines w:val="true"/>
        <w:spacing w:before="0" w:after="0" w:line="276"/>
        <w:ind w:right="0" w:left="2124" w:firstLine="708"/>
        <w:jc w:val="left"/>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auto"/>
          <w:spacing w:val="0"/>
          <w:position w:val="0"/>
          <w:sz w:val="26"/>
          <w:shd w:fill="auto" w:val="clear"/>
        </w:rPr>
        <w:t xml:space="preserve">, ИНН </w:t>
      </w:r>
      <w:r>
        <w:rPr>
          <w:rFonts w:ascii="Times New Roman" w:hAnsi="Times New Roman" w:cs="Times New Roman" w:eastAsia="Times New Roman"/>
          <w:b/>
          <w:color w:val="000000"/>
          <w:spacing w:val="0"/>
          <w:position w:val="0"/>
          <w:sz w:val="26"/>
          <w:shd w:fill="FFFFFF" w:val="clear"/>
        </w:rPr>
        <w:t xml:space="preserve">.</w:t>
      </w:r>
    </w:p>
    <w:p>
      <w:pPr>
        <w:keepNext w:val="true"/>
        <w:keepLines w:val="true"/>
        <w:spacing w:before="0" w:after="0" w:line="276"/>
        <w:ind w:right="0" w:left="3540" w:firstLine="0"/>
        <w:jc w:val="left"/>
        <w:rPr>
          <w:rFonts w:ascii="Times New Roman" w:hAnsi="Times New Roman" w:cs="Times New Roman" w:eastAsia="Times New Roman"/>
          <w:color w:val="auto"/>
          <w:spacing w:val="0"/>
          <w:position w:val="0"/>
          <w:sz w:val="26"/>
          <w:shd w:fill="auto" w:val="clear"/>
        </w:rPr>
      </w:pPr>
    </w:p>
    <w:p>
      <w:pPr>
        <w:keepNext w:val="true"/>
        <w:keepLines w:val="true"/>
        <w:spacing w:before="0" w:after="0" w:line="276"/>
        <w:ind w:right="0" w:left="354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Паспорт: </w:t>
      </w:r>
    </w:p>
    <w:p>
      <w:pPr>
        <w:keepNext w:val="true"/>
        <w:keepLines w:val="true"/>
        <w:spacing w:before="0" w:after="0" w:line="276"/>
        <w:ind w:right="0" w:left="354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Тел</w:t>
      </w:r>
    </w:p>
    <w:p>
      <w:pPr>
        <w:keepNext w:val="true"/>
        <w:keepLines w:val="true"/>
        <w:spacing w:before="0" w:after="0" w:line="276"/>
        <w:ind w:right="0" w:left="3540" w:firstLine="0"/>
        <w:jc w:val="left"/>
        <w:rPr>
          <w:rFonts w:ascii="Times New Roman" w:hAnsi="Times New Roman" w:cs="Times New Roman" w:eastAsia="Times New Roman"/>
          <w:color w:val="auto"/>
          <w:spacing w:val="0"/>
          <w:position w:val="0"/>
          <w:sz w:val="26"/>
          <w:shd w:fill="FFFFFF" w:val="clear"/>
        </w:rPr>
      </w:pPr>
      <w:r>
        <w:rPr>
          <w:rFonts w:ascii="Times New Roman" w:hAnsi="Times New Roman" w:cs="Times New Roman" w:eastAsia="Times New Roman"/>
          <w:color w:val="auto"/>
          <w:spacing w:val="0"/>
          <w:position w:val="0"/>
          <w:sz w:val="26"/>
          <w:shd w:fill="auto" w:val="clear"/>
        </w:rPr>
        <w:t xml:space="preserve">E-mail: </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p>
    <w:p>
      <w:pPr>
        <w:spacing w:before="0" w:after="0" w:line="240"/>
        <w:ind w:right="0" w:left="0" w:firstLine="567"/>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Досудебная претензия о взыскании неосновательного обогащения (неосновательно сбереженных денежных средств).</w:t>
      </w:r>
    </w:p>
    <w:p>
      <w:pPr>
        <w:spacing w:before="0" w:after="0" w:line="240"/>
        <w:ind w:right="0" w:left="0" w:firstLine="567"/>
        <w:jc w:val="center"/>
        <w:rPr>
          <w:rFonts w:ascii="Times New Roman" w:hAnsi="Times New Roman" w:cs="Times New Roman" w:eastAsia="Times New Roman"/>
          <w:b/>
          <w:color w:val="auto"/>
          <w:spacing w:val="0"/>
          <w:position w:val="0"/>
          <w:sz w:val="26"/>
          <w:shd w:fill="auto" w:val="clear"/>
        </w:rPr>
      </w:pP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Настоящим сообщаю, что мною 02 и 10 октября 2022 года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через Интернет портал</w:t>
      </w:r>
      <w:r>
        <w:rPr>
          <w:rFonts w:ascii="Calibri" w:hAnsi="Calibri" w:cs="Calibri" w:eastAsia="Calibri"/>
          <w:color w:val="auto"/>
          <w:spacing w:val="0"/>
          <w:position w:val="0"/>
          <w:sz w:val="22"/>
          <w:shd w:fill="auto" w:val="clear"/>
        </w:rPr>
        <w:t xml:space="preserve"> </w:t>
      </w:r>
      <w:hyperlink xmlns:r="http://schemas.openxmlformats.org/officeDocument/2006/relationships" r:id="docRId0">
        <w:r>
          <w:rPr>
            <w:rFonts w:ascii="Times New Roman" w:hAnsi="Times New Roman" w:cs="Times New Roman" w:eastAsia="Times New Roman"/>
            <w:color w:val="0000FF"/>
            <w:spacing w:val="0"/>
            <w:position w:val="0"/>
            <w:sz w:val="26"/>
            <w:u w:val="single"/>
            <w:shd w:fill="auto" w:val="clear"/>
          </w:rPr>
          <w:t xml:space="preserve">https://www.rzd.ru/</w:t>
        </w:r>
      </w:hyperlink>
      <w:r>
        <w:rPr>
          <w:rFonts w:ascii="Times New Roman" w:hAnsi="Times New Roman" w:cs="Times New Roman" w:eastAsia="Times New Roman"/>
          <w:color w:val="auto"/>
          <w:spacing w:val="0"/>
          <w:position w:val="0"/>
          <w:sz w:val="26"/>
          <w:shd w:fill="auto" w:val="clear"/>
        </w:rPr>
        <w:t xml:space="preserve"> были приобретены железнодорожные билеты (приложение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1) </w:t>
      </w:r>
      <w:r>
        <w:rPr>
          <w:rFonts w:ascii="Times New Roman" w:hAnsi="Times New Roman" w:cs="Times New Roman" w:eastAsia="Times New Roman"/>
          <w:color w:val="auto"/>
          <w:spacing w:val="0"/>
          <w:position w:val="0"/>
          <w:sz w:val="26"/>
          <w:shd w:fill="auto" w:val="clear"/>
        </w:rPr>
        <w:t xml:space="preserve">на общую сумму 8 796 рубля 40 копеек; данные билеты были оплачены посредством банковской карты, выпущенной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14 </w:t>
      </w:r>
      <w:r>
        <w:rPr>
          <w:rFonts w:ascii="Times New Roman" w:hAnsi="Times New Roman" w:cs="Times New Roman" w:eastAsia="Times New Roman"/>
          <w:color w:val="auto"/>
          <w:spacing w:val="0"/>
          <w:position w:val="0"/>
          <w:sz w:val="26"/>
          <w:shd w:fill="auto" w:val="clear"/>
        </w:rPr>
        <w:t xml:space="preserve">декабря 2022 года мною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было подано заявление о закрытии карты и счета; 26 декабря 2022 года счет и карта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были закрыты и договорные отношения с ним прекращены.</w:t>
      </w: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30 </w:t>
      </w:r>
      <w:r>
        <w:rPr>
          <w:rFonts w:ascii="Times New Roman" w:hAnsi="Times New Roman" w:cs="Times New Roman" w:eastAsia="Times New Roman"/>
          <w:color w:val="auto"/>
          <w:spacing w:val="0"/>
          <w:position w:val="0"/>
          <w:sz w:val="26"/>
          <w:shd w:fill="auto" w:val="clear"/>
        </w:rPr>
        <w:t xml:space="preserve">декабря 2022 года и 02 января 2023 года мною была осуществлена операция возврата указанных железнодорожных билетов, что подтверждается  квитанциями с ARN-идентификаторами (приложение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2); </w:t>
      </w:r>
      <w:r>
        <w:rPr>
          <w:rFonts w:ascii="Times New Roman" w:hAnsi="Times New Roman" w:cs="Times New Roman" w:eastAsia="Times New Roman"/>
          <w:color w:val="auto"/>
          <w:spacing w:val="0"/>
          <w:position w:val="0"/>
          <w:sz w:val="26"/>
          <w:shd w:fill="auto" w:val="clear"/>
        </w:rPr>
        <w:t xml:space="preserve">денежные средства были направлены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картой которого мною были оплачены железнодорожные билеты. Общая сумма денежных средств, подлежащих возврату и перечисленных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составила 8 786 рубля 40 копеек.</w:t>
      </w: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В связи с тем, что мои договорные отношения с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были прекращены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денежные средства из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были отправлены обратно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в Банк ВТБ - банк-эквайер (приложение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3).</w:t>
      </w: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Мною, в конце января 2023 года, было направлено обращение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с просьбой вернуть перечисленные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денежные средства за возвращенные железнодорожные билеты на мой действующий счет в ПАО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Сбербанк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направило мне ответ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ФПКБА-119/ИСХ-2023 от 16 февраля 2023 года (приложение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4), </w:t>
      </w:r>
      <w:r>
        <w:rPr>
          <w:rFonts w:ascii="Times New Roman" w:hAnsi="Times New Roman" w:cs="Times New Roman" w:eastAsia="Times New Roman"/>
          <w:color w:val="auto"/>
          <w:spacing w:val="0"/>
          <w:position w:val="0"/>
          <w:sz w:val="26"/>
          <w:shd w:fill="auto" w:val="clear"/>
        </w:rPr>
        <w:t xml:space="preserve">в котором извещало меня о том, что возврат денежных средств из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на счет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не осуществлялся. С учетом данных обстоятельств и получением противоречивой информации, я был вынужден обратиться к регулятору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в Центральный Банк РФ.</w:t>
      </w: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Центральным Банком РФ была проведена проверка по моему обращению, в ходе которой было установлено, что Банк ВТБ вернул деньги на счет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w:t>
      </w:r>
    </w:p>
    <w:p>
      <w:pPr>
        <w:numPr>
          <w:ilvl w:val="0"/>
          <w:numId w:val="9"/>
        </w:numPr>
        <w:tabs>
          <w:tab w:val="left" w:pos="1429" w:leader="none"/>
        </w:tabs>
        <w:spacing w:before="0" w:after="0" w:line="360"/>
        <w:ind w:right="0" w:left="1429"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3 444 </w:t>
      </w:r>
      <w:r>
        <w:rPr>
          <w:rFonts w:ascii="Times New Roman" w:hAnsi="Times New Roman" w:cs="Times New Roman" w:eastAsia="Times New Roman"/>
          <w:color w:val="auto"/>
          <w:spacing w:val="0"/>
          <w:position w:val="0"/>
          <w:sz w:val="26"/>
          <w:shd w:fill="auto" w:val="clear"/>
        </w:rPr>
        <w:t xml:space="preserve">рублей 10 копеек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03 </w:t>
      </w:r>
      <w:r>
        <w:rPr>
          <w:rFonts w:ascii="Times New Roman" w:hAnsi="Times New Roman" w:cs="Times New Roman" w:eastAsia="Times New Roman"/>
          <w:color w:val="auto"/>
          <w:spacing w:val="0"/>
          <w:position w:val="0"/>
          <w:sz w:val="26"/>
          <w:shd w:fill="auto" w:val="clear"/>
        </w:rPr>
        <w:t xml:space="preserve">февраля 2023 года;</w:t>
      </w:r>
    </w:p>
    <w:p>
      <w:pPr>
        <w:numPr>
          <w:ilvl w:val="0"/>
          <w:numId w:val="9"/>
        </w:numPr>
        <w:tabs>
          <w:tab w:val="left" w:pos="1429" w:leader="none"/>
        </w:tabs>
        <w:spacing w:before="0" w:after="0" w:line="360"/>
        <w:ind w:right="0" w:left="1429"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1 317 </w:t>
      </w:r>
      <w:r>
        <w:rPr>
          <w:rFonts w:ascii="Times New Roman" w:hAnsi="Times New Roman" w:cs="Times New Roman" w:eastAsia="Times New Roman"/>
          <w:color w:val="auto"/>
          <w:spacing w:val="0"/>
          <w:position w:val="0"/>
          <w:sz w:val="26"/>
          <w:shd w:fill="auto" w:val="clear"/>
        </w:rPr>
        <w:t xml:space="preserve">рублей 50 копеек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03 </w:t>
      </w:r>
      <w:r>
        <w:rPr>
          <w:rFonts w:ascii="Times New Roman" w:hAnsi="Times New Roman" w:cs="Times New Roman" w:eastAsia="Times New Roman"/>
          <w:color w:val="auto"/>
          <w:spacing w:val="0"/>
          <w:position w:val="0"/>
          <w:sz w:val="26"/>
          <w:shd w:fill="auto" w:val="clear"/>
        </w:rPr>
        <w:t xml:space="preserve">февраля 2023 года;</w:t>
      </w:r>
    </w:p>
    <w:p>
      <w:pPr>
        <w:numPr>
          <w:ilvl w:val="0"/>
          <w:numId w:val="9"/>
        </w:numPr>
        <w:tabs>
          <w:tab w:val="left" w:pos="1429" w:leader="none"/>
        </w:tabs>
        <w:spacing w:before="0" w:after="0" w:line="360"/>
        <w:ind w:right="0" w:left="1429"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2 898 </w:t>
      </w:r>
      <w:r>
        <w:rPr>
          <w:rFonts w:ascii="Times New Roman" w:hAnsi="Times New Roman" w:cs="Times New Roman" w:eastAsia="Times New Roman"/>
          <w:color w:val="auto"/>
          <w:spacing w:val="0"/>
          <w:position w:val="0"/>
          <w:sz w:val="26"/>
          <w:shd w:fill="auto" w:val="clear"/>
        </w:rPr>
        <w:t xml:space="preserve">рублей 50 копеек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29 </w:t>
      </w:r>
      <w:r>
        <w:rPr>
          <w:rFonts w:ascii="Times New Roman" w:hAnsi="Times New Roman" w:cs="Times New Roman" w:eastAsia="Times New Roman"/>
          <w:color w:val="auto"/>
          <w:spacing w:val="0"/>
          <w:position w:val="0"/>
          <w:sz w:val="26"/>
          <w:shd w:fill="auto" w:val="clear"/>
        </w:rPr>
        <w:t xml:space="preserve">марта 2023 года;</w:t>
      </w:r>
    </w:p>
    <w:p>
      <w:pPr>
        <w:numPr>
          <w:ilvl w:val="0"/>
          <w:numId w:val="9"/>
        </w:numPr>
        <w:tabs>
          <w:tab w:val="left" w:pos="1429" w:leader="none"/>
        </w:tabs>
        <w:spacing w:before="0" w:after="0" w:line="360"/>
        <w:ind w:right="0" w:left="1429"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1 126 </w:t>
      </w:r>
      <w:r>
        <w:rPr>
          <w:rFonts w:ascii="Times New Roman" w:hAnsi="Times New Roman" w:cs="Times New Roman" w:eastAsia="Times New Roman"/>
          <w:color w:val="auto"/>
          <w:spacing w:val="0"/>
          <w:position w:val="0"/>
          <w:sz w:val="26"/>
          <w:shd w:fill="auto" w:val="clear"/>
        </w:rPr>
        <w:t xml:space="preserve">рублей 30 копеек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29 </w:t>
      </w:r>
      <w:r>
        <w:rPr>
          <w:rFonts w:ascii="Times New Roman" w:hAnsi="Times New Roman" w:cs="Times New Roman" w:eastAsia="Times New Roman"/>
          <w:color w:val="auto"/>
          <w:spacing w:val="0"/>
          <w:position w:val="0"/>
          <w:sz w:val="26"/>
          <w:shd w:fill="auto" w:val="clear"/>
        </w:rPr>
        <w:t xml:space="preserve">марта 2023 года.</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О результатах данной проверки я был извещен письмом Центрального Банка РФ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Ц1/1125320 от 18 апреля 2023 года (приложение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5); </w:t>
      </w:r>
      <w:r>
        <w:rPr>
          <w:rFonts w:ascii="Times New Roman" w:hAnsi="Times New Roman" w:cs="Times New Roman" w:eastAsia="Times New Roman"/>
          <w:color w:val="auto"/>
          <w:spacing w:val="0"/>
          <w:position w:val="0"/>
          <w:sz w:val="26"/>
          <w:shd w:fill="auto" w:val="clear"/>
        </w:rPr>
        <w:t xml:space="preserve">после этого я повторно обратился 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с требованием о возврате денежных средств.</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Письмом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ФПКБА-583/2023 от 03 мая 2023 года (приложение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6) </w:t>
      </w:r>
      <w:r>
        <w:rPr>
          <w:rFonts w:ascii="Times New Roman" w:hAnsi="Times New Roman" w:cs="Times New Roman" w:eastAsia="Times New Roman"/>
          <w:color w:val="auto"/>
          <w:spacing w:val="0"/>
          <w:position w:val="0"/>
          <w:sz w:val="26"/>
          <w:shd w:fill="auto" w:val="clear"/>
        </w:rPr>
        <w:t xml:space="preserve">я был извещен о том, что деньги на счет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 </w:t>
      </w:r>
      <w:r>
        <w:rPr>
          <w:rFonts w:ascii="Times New Roman" w:hAnsi="Times New Roman" w:cs="Times New Roman" w:eastAsia="Times New Roman"/>
          <w:color w:val="auto"/>
          <w:spacing w:val="0"/>
          <w:position w:val="0"/>
          <w:sz w:val="26"/>
          <w:shd w:fill="auto" w:val="clear"/>
        </w:rPr>
        <w:t xml:space="preserve">не поступали и, соответственно, информация, изложенная в письме Центрального Банка РФ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Ц1/1125320 от 18 апреля 2023 года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якобы не соответствует действительности.</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Учитывая вышеизложенные обстоятельства и имеющиеся в моем распоряжении документы, считаю необходимым обратить внимание на то, что действия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в части неосновательного удержания принадлежащих мне денежных средств являются незаконными.</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Статья 782 ГК РФ устанавливает возможность отказа от услуги. Частью 2 статьи 784 ГК РФ установлено, что условия перевозки пассажиров  отдельными видами транспорта, а также ответственность сторон по этим перевозкам определяются соглашением сторон, если ГК РФ, транспортными уставами и кодексами, иными законами и издаваемыми в соответствии с ними правилами не установлено иное.</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Статьей 1102 ГК РФ установлено, что лицо, которое без установленных законом, иными правовыми актами или сделкой оснований приобрело или сберегло имущество за счет другого лица, обязано возвратить последнему неосновательно приобретенное или сбереженное имущество (неосновательное обогащение), в данном случае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денежные средства.</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Частью 1 статьи 395 ГК РФ установлено, что в случаях неправомерного удержания денежных средств, уклонения от их возврата, иной просрочки в их уплате подлежат уплате проценты на сумму долга. Размер процентов определяется </w:t>
      </w:r>
      <w:hyperlink xmlns:r="http://schemas.openxmlformats.org/officeDocument/2006/relationships" r:id="docRId1">
        <w:r>
          <w:rPr>
            <w:rFonts w:ascii="Times New Roman" w:hAnsi="Times New Roman" w:cs="Times New Roman" w:eastAsia="Times New Roman"/>
            <w:color w:val="0000FF"/>
            <w:spacing w:val="0"/>
            <w:position w:val="0"/>
            <w:sz w:val="26"/>
            <w:u w:val="single"/>
            <w:shd w:fill="auto" w:val="clear"/>
          </w:rPr>
          <w:t xml:space="preserve">ключевой ставкой</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Банка России, действовавшей в соответствующие периоды.</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Статьями 83-87 главы X  </w:t>
      </w:r>
      <w:hyperlink xmlns:r="http://schemas.openxmlformats.org/officeDocument/2006/relationships" r:id="docRId2">
        <w:r>
          <w:rPr>
            <w:rFonts w:ascii="Times New Roman" w:hAnsi="Times New Roman" w:cs="Times New Roman" w:eastAsia="Times New Roman"/>
            <w:color w:val="0000FF"/>
            <w:spacing w:val="0"/>
            <w:position w:val="0"/>
            <w:sz w:val="26"/>
            <w:u w:val="single"/>
            <w:shd w:fill="auto" w:val="clear"/>
          </w:rPr>
          <w:t xml:space="preserve">Приказ</w:t>
        </w:r>
        <w:r>
          <w:rPr>
            <w:rFonts w:ascii="Times New Roman" w:hAnsi="Times New Roman" w:cs="Times New Roman" w:eastAsia="Times New Roman"/>
            <w:color w:val="0000FF"/>
            <w:spacing w:val="0"/>
            <w:position w:val="0"/>
            <w:sz w:val="26"/>
            <w:u w:val="single"/>
            <w:shd w:fill="auto" w:val="clear"/>
          </w:rPr>
          <w:t xml:space="preserve"> HYPERLINK "https://www.consultant.ru/document/cons_doc_LAW_166504/"</w:t>
        </w:r>
        <w:r>
          <w:rPr>
            <w:rFonts w:ascii="Times New Roman" w:hAnsi="Times New Roman" w:cs="Times New Roman" w:eastAsia="Times New Roman"/>
            <w:color w:val="0000FF"/>
            <w:spacing w:val="0"/>
            <w:position w:val="0"/>
            <w:sz w:val="26"/>
            <w:u w:val="single"/>
            <w:shd w:fill="auto" w:val="clear"/>
          </w:rPr>
          <w:t xml:space="preserve">а</w:t>
        </w:r>
        <w:r>
          <w:rPr>
            <w:rFonts w:ascii="Times New Roman" w:hAnsi="Times New Roman" w:cs="Times New Roman" w:eastAsia="Times New Roman"/>
            <w:color w:val="0000FF"/>
            <w:spacing w:val="0"/>
            <w:position w:val="0"/>
            <w:sz w:val="26"/>
            <w:u w:val="single"/>
            <w:shd w:fill="auto" w:val="clear"/>
          </w:rPr>
          <w:t xml:space="preserve"> HYPERLINK "https://www.consultant.ru/document/cons_doc_LAW_166504/"</w:t>
        </w:r>
        <w:r>
          <w:rPr>
            <w:rFonts w:ascii="Times New Roman" w:hAnsi="Times New Roman" w:cs="Times New Roman" w:eastAsia="Times New Roman"/>
            <w:color w:val="0000FF"/>
            <w:spacing w:val="0"/>
            <w:position w:val="0"/>
            <w:sz w:val="26"/>
            <w:u w:val="single"/>
            <w:shd w:fill="auto" w:val="clear"/>
          </w:rPr>
          <w:t xml:space="preserve"> </w:t>
        </w:r>
        <w:r>
          <w:rPr>
            <w:rFonts w:ascii="Times New Roman" w:hAnsi="Times New Roman" w:cs="Times New Roman" w:eastAsia="Times New Roman"/>
            <w:color w:val="0000FF"/>
            <w:spacing w:val="0"/>
            <w:position w:val="0"/>
            <w:sz w:val="26"/>
            <w:u w:val="single"/>
            <w:shd w:fill="auto" w:val="clear"/>
          </w:rPr>
          <w:t xml:space="preserve">Минтранса России от 19.12</w:t>
        </w:r>
        <w:r>
          <w:rPr>
            <w:rFonts w:ascii="Times New Roman" w:hAnsi="Times New Roman" w:cs="Times New Roman" w:eastAsia="Times New Roman"/>
            <w:color w:val="0000FF"/>
            <w:spacing w:val="0"/>
            <w:position w:val="0"/>
            <w:sz w:val="26"/>
            <w:u w:val="single"/>
            <w:shd w:fill="auto" w:val="clear"/>
          </w:rPr>
          <w:t xml:space="preserve"> HYPERLINK "https://www.consultant.ru/document/cons_doc_LAW_166504/"</w:t>
        </w:r>
        <w:r>
          <w:rPr>
            <w:rFonts w:ascii="Times New Roman" w:hAnsi="Times New Roman" w:cs="Times New Roman" w:eastAsia="Times New Roman"/>
            <w:color w:val="0000FF"/>
            <w:spacing w:val="0"/>
            <w:position w:val="0"/>
            <w:sz w:val="26"/>
            <w:u w:val="single"/>
            <w:shd w:fill="auto" w:val="clear"/>
          </w:rPr>
          <w:t xml:space="preserve">.2013 N 473 </w:t>
        </w:r>
        <w:r>
          <w:rPr>
            <w:rFonts w:ascii="Times New Roman" w:hAnsi="Times New Roman" w:cs="Times New Roman" w:eastAsia="Times New Roman"/>
            <w:color w:val="0000FF"/>
            <w:spacing w:val="0"/>
            <w:position w:val="0"/>
            <w:sz w:val="26"/>
            <w:u w:val="single"/>
            <w:shd w:fill="auto" w:val="clear"/>
          </w:rPr>
          <w:t xml:space="preserve"> HYPERLINK "https://www.consultant.ru/document/cons_doc_LAW_166504/"</w:t>
        </w:r>
        <w:r>
          <w:rPr>
            <w:rFonts w:ascii="Times New Roman" w:hAnsi="Times New Roman" w:cs="Times New Roman" w:eastAsia="Times New Roman"/>
            <w:color w:val="0000FF"/>
            <w:spacing w:val="0"/>
            <w:position w:val="0"/>
            <w:sz w:val="26"/>
            <w:u w:val="single"/>
            <w:shd w:fill="auto" w:val="clear"/>
          </w:rPr>
          <w:t xml:space="preserve"> "</w:t>
        </w:r>
        <w:r>
          <w:rPr>
            <w:rFonts w:ascii="Times New Roman" w:hAnsi="Times New Roman" w:cs="Times New Roman" w:eastAsia="Times New Roman"/>
            <w:color w:val="0000FF"/>
            <w:spacing w:val="0"/>
            <w:position w:val="0"/>
            <w:sz w:val="26"/>
            <w:u w:val="single"/>
            <w:shd w:fill="auto" w:val="clear"/>
          </w:rPr>
          <w:t xml:space="preserve">Об утверждении Правил перевозок пассажиров, багажа, грузобагажа железнодорожным транспортом" (Зарегистрировано в Минюсте России 24.07.2014 N 33244)</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определен порядок возврата денежных средств, уплаченных за проезд в поезд дальнего следования. Железнодорожные билеты были возвращены мною более, чем за 8 часов до отправления поезда, что подразумевает полный возврат стоимости билетов, за вычетом сервисного сбора.</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Статьей 32 </w:t>
      </w:r>
      <w:hyperlink xmlns:r="http://schemas.openxmlformats.org/officeDocument/2006/relationships" r:id="docRId3">
        <w:r>
          <w:rPr>
            <w:rFonts w:ascii="Times New Roman" w:hAnsi="Times New Roman" w:cs="Times New Roman" w:eastAsia="Times New Roman"/>
            <w:color w:val="0000FF"/>
            <w:spacing w:val="0"/>
            <w:position w:val="0"/>
            <w:sz w:val="26"/>
            <w:u w:val="single"/>
            <w:shd w:fill="auto" w:val="clear"/>
          </w:rPr>
          <w:t xml:space="preserve">Закон</w:t>
        </w:r>
        <w:r>
          <w:rPr>
            <w:rFonts w:ascii="Times New Roman" w:hAnsi="Times New Roman" w:cs="Times New Roman" w:eastAsia="Times New Roman"/>
            <w:color w:val="0000FF"/>
            <w:spacing w:val="0"/>
            <w:position w:val="0"/>
            <w:sz w:val="26"/>
            <w:u w:val="single"/>
            <w:shd w:fill="auto" w:val="clear"/>
          </w:rPr>
          <w:t xml:space="preserve"> HYPERLINK "https://www.consultant.ru/document/cons_doc_LAW_305/"</w:t>
        </w:r>
        <w:r>
          <w:rPr>
            <w:rFonts w:ascii="Times New Roman" w:hAnsi="Times New Roman" w:cs="Times New Roman" w:eastAsia="Times New Roman"/>
            <w:color w:val="0000FF"/>
            <w:spacing w:val="0"/>
            <w:position w:val="0"/>
            <w:sz w:val="26"/>
            <w:u w:val="single"/>
            <w:shd w:fill="auto" w:val="clear"/>
          </w:rPr>
          <w:t xml:space="preserve">а</w:t>
        </w:r>
        <w:r>
          <w:rPr>
            <w:rFonts w:ascii="Times New Roman" w:hAnsi="Times New Roman" w:cs="Times New Roman" w:eastAsia="Times New Roman"/>
            <w:color w:val="0000FF"/>
            <w:spacing w:val="0"/>
            <w:position w:val="0"/>
            <w:sz w:val="26"/>
            <w:u w:val="single"/>
            <w:shd w:fill="auto" w:val="clear"/>
          </w:rPr>
          <w:t xml:space="preserve"> HYPERLINK "https://www.consultant.ru/document/cons_doc_LAW_305/"</w:t>
        </w:r>
        <w:r>
          <w:rPr>
            <w:rFonts w:ascii="Times New Roman" w:hAnsi="Times New Roman" w:cs="Times New Roman" w:eastAsia="Times New Roman"/>
            <w:color w:val="0000FF"/>
            <w:spacing w:val="0"/>
            <w:position w:val="0"/>
            <w:sz w:val="26"/>
            <w:u w:val="single"/>
            <w:shd w:fill="auto" w:val="clear"/>
          </w:rPr>
          <w:t xml:space="preserve"> </w:t>
        </w:r>
        <w:r>
          <w:rPr>
            <w:rFonts w:ascii="Times New Roman" w:hAnsi="Times New Roman" w:cs="Times New Roman" w:eastAsia="Times New Roman"/>
            <w:color w:val="0000FF"/>
            <w:spacing w:val="0"/>
            <w:position w:val="0"/>
            <w:sz w:val="26"/>
            <w:u w:val="single"/>
            <w:shd w:fill="auto" w:val="clear"/>
          </w:rPr>
          <w:t xml:space="preserve">РФ от 07.02.1992 N 2300-1 (ред. от 05.12.2022) "О защите прав потребителей"</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установлено, что потребитель вправе в одностороннем порядке отказаться от исполнения договора оказания услуг в любое время.</w:t>
      </w: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Таким образом, как следует из вышеизложенного и приложенных документов,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неосновательно сберегло и пользуется принадлежащими мне денежными средствами в размере 8 786 рублей 40 копеек, а именно - </w:t>
      </w:r>
    </w:p>
    <w:p>
      <w:pPr>
        <w:numPr>
          <w:ilvl w:val="0"/>
          <w:numId w:val="11"/>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4 761 </w:t>
      </w:r>
      <w:r>
        <w:rPr>
          <w:rFonts w:ascii="Times New Roman" w:hAnsi="Times New Roman" w:cs="Times New Roman" w:eastAsia="Times New Roman"/>
          <w:color w:val="auto"/>
          <w:spacing w:val="0"/>
          <w:position w:val="0"/>
          <w:sz w:val="26"/>
          <w:shd w:fill="auto" w:val="clear"/>
        </w:rPr>
        <w:t xml:space="preserve">рубль 60 копеек с 04 февраля 2023 года;</w:t>
      </w:r>
    </w:p>
    <w:p>
      <w:pPr>
        <w:numPr>
          <w:ilvl w:val="0"/>
          <w:numId w:val="11"/>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4 024 </w:t>
      </w:r>
      <w:r>
        <w:rPr>
          <w:rFonts w:ascii="Times New Roman" w:hAnsi="Times New Roman" w:cs="Times New Roman" w:eastAsia="Times New Roman"/>
          <w:color w:val="auto"/>
          <w:spacing w:val="0"/>
          <w:position w:val="0"/>
          <w:sz w:val="26"/>
          <w:shd w:fill="auto" w:val="clear"/>
        </w:rPr>
        <w:t xml:space="preserve">рубля 80 копеек с 30 марта 2023 года</w:t>
      </w:r>
    </w:p>
    <w:p>
      <w:pPr>
        <w:spacing w:before="0" w:after="0" w:line="360"/>
        <w:ind w:right="0" w:left="0" w:firstLine="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На основании вышеизложенного, в рамках досудебного урегулирования, </w:t>
      </w:r>
      <w:r>
        <w:rPr>
          <w:rFonts w:ascii="Times New Roman" w:hAnsi="Times New Roman" w:cs="Times New Roman" w:eastAsia="Times New Roman"/>
          <w:b/>
          <w:color w:val="auto"/>
          <w:spacing w:val="0"/>
          <w:position w:val="0"/>
          <w:sz w:val="26"/>
          <w:shd w:fill="auto" w:val="clear"/>
        </w:rPr>
        <w:t xml:space="preserve">ПРОШУ</w:t>
      </w:r>
      <w:r>
        <w:rPr>
          <w:rFonts w:ascii="Times New Roman" w:hAnsi="Times New Roman" w:cs="Times New Roman" w:eastAsia="Times New Roman"/>
          <w:color w:val="auto"/>
          <w:spacing w:val="0"/>
          <w:position w:val="0"/>
          <w:sz w:val="26"/>
          <w:shd w:fill="auto" w:val="clear"/>
        </w:rPr>
        <w:t xml:space="preserve">:</w:t>
      </w:r>
    </w:p>
    <w:p>
      <w:pPr>
        <w:numPr>
          <w:ilvl w:val="0"/>
          <w:numId w:val="13"/>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Произвести возврат денежных средств в размере 8 786 рублей 40 копеек за возвращенные мною железнодорожные билеты.</w:t>
      </w:r>
    </w:p>
    <w:p>
      <w:pPr>
        <w:numPr>
          <w:ilvl w:val="0"/>
          <w:numId w:val="13"/>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Произвести выплату процентов, исходя из ключевой ставки Банка России, за неосновательное пользование чужими денежными средствами, а именно:</w:t>
      </w:r>
    </w:p>
    <w:p>
      <w:pPr>
        <w:numPr>
          <w:ilvl w:val="0"/>
          <w:numId w:val="13"/>
        </w:numPr>
        <w:tabs>
          <w:tab w:val="left" w:pos="1068" w:leader="none"/>
        </w:tabs>
        <w:spacing w:before="0" w:after="0" w:line="360"/>
        <w:ind w:right="0" w:left="1068"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на сумму 4 761 рубль 60 копеек за период с 04 февраля 2023 года по дату фактической выплаты денежных средств;</w:t>
      </w:r>
    </w:p>
    <w:p>
      <w:pPr>
        <w:numPr>
          <w:ilvl w:val="0"/>
          <w:numId w:val="13"/>
        </w:numPr>
        <w:tabs>
          <w:tab w:val="left" w:pos="1068" w:leader="none"/>
        </w:tabs>
        <w:spacing w:before="0" w:after="0" w:line="360"/>
        <w:ind w:right="0" w:left="1068"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на сумму 4 024 рубль 80 копеек за период с 30 марта 2023 года по дату фактической выплаты денежных средств.</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Денежные средства прошу перечислить на следующие банковские реквизиты:</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Получатель: </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Номер счета </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Банк получателя ПАО Сбербанк</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Бик 044525225</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Корр </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ИНН 7707083893</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КПП 773643001</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ОКПО 57972160</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ОГРН 1027700132195</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SWIFT CODE SABRRUMM</w:t>
      </w:r>
    </w:p>
    <w:p>
      <w:pPr>
        <w:spacing w:before="0" w:after="0" w:line="360"/>
        <w:ind w:right="0" w:left="708" w:firstLine="0"/>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709"/>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Приложения</w:t>
      </w:r>
      <w:r>
        <w:rPr>
          <w:rFonts w:ascii="Times New Roman" w:hAnsi="Times New Roman" w:cs="Times New Roman" w:eastAsia="Times New Roman"/>
          <w:color w:val="auto"/>
          <w:spacing w:val="0"/>
          <w:position w:val="0"/>
          <w:sz w:val="26"/>
          <w:shd w:fill="auto" w:val="clear"/>
        </w:rPr>
        <w:t xml:space="preserve">: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Копии электронных железнодорожных билетов.</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Копии квитанциями с ARN-идентификаторами.</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Копия ответа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КБ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Ситибанк</w:t>
      </w:r>
      <w:r>
        <w:rPr>
          <w:rFonts w:ascii="Times New Roman" w:hAnsi="Times New Roman" w:cs="Times New Roman" w:eastAsia="Times New Roman"/>
          <w:color w:val="auto"/>
          <w:spacing w:val="0"/>
          <w:position w:val="0"/>
          <w:sz w:val="26"/>
          <w:shd w:fill="auto" w:val="clear"/>
        </w:rPr>
        <w:t xml:space="preserve">».</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Копия ответа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ФПКБА-119/ИСХ-2023 от 16 февраля 2023 г.</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Копия письма Центрального Банка РФ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Ц1/1125320 от 18 апреля 2023 года.</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Копия ответа АО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ФПК</w:t>
      </w:r>
      <w:r>
        <w:rPr>
          <w:rFonts w:ascii="Times New Roman" w:hAnsi="Times New Roman" w:cs="Times New Roman" w:eastAsia="Times New Roman"/>
          <w:color w:val="auto"/>
          <w:spacing w:val="0"/>
          <w:position w:val="0"/>
          <w:sz w:val="26"/>
          <w:shd w:fill="auto" w:val="clear"/>
        </w:rPr>
        <w:t xml:space="preserve">» </w:t>
      </w:r>
      <w:r>
        <w:rPr>
          <w:rFonts w:ascii="Segoe UI Symbol" w:hAnsi="Segoe UI Symbol" w:cs="Segoe UI Symbol" w:eastAsia="Segoe UI Symbol"/>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ФПКБА-583/ИСХ-2023 от 03 мая 2023 года</w:t>
      </w:r>
    </w:p>
    <w:p>
      <w:pPr>
        <w:spacing w:before="0" w:after="0" w:line="240"/>
        <w:ind w:right="0" w:left="927" w:firstLine="0"/>
        <w:jc w:val="both"/>
        <w:rPr>
          <w:rFonts w:ascii="Times New Roman" w:hAnsi="Times New Roman" w:cs="Times New Roman" w:eastAsia="Times New Roman"/>
          <w:color w:val="auto"/>
          <w:spacing w:val="0"/>
          <w:position w:val="0"/>
          <w:sz w:val="26"/>
          <w:shd w:fill="auto" w:val="clear"/>
        </w:rPr>
      </w:pPr>
    </w:p>
    <w:p>
      <w:pPr>
        <w:spacing w:before="0" w:after="0" w:line="240"/>
        <w:ind w:right="0" w:left="927" w:firstLine="0"/>
        <w:jc w:val="both"/>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Заявитель</w:t>
        <w:tab/>
        <w:tab/>
        <w:tab/>
        <w:tab/>
        <w:tab/>
        <w:tab/>
        <w:tab/>
        <w:tab/>
        <w:tab/>
        <w:tab/>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9">
    <w:abstractNumId w:val="18"/>
  </w:num>
  <w:num w:numId="11">
    <w:abstractNumId w:val="12"/>
  </w:num>
  <w:num w:numId="13">
    <w:abstractNumId w:val="6"/>
  </w:num>
  <w:num w:numId="1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onsultant.ru/document/cons_doc_LAW_12453/17fba08beba663f92037428f6679a67af1573307/" Id="docRId1" Type="http://schemas.openxmlformats.org/officeDocument/2006/relationships/hyperlink" /><Relationship TargetMode="External" Target="https://www.consultant.ru/document/cons_doc_LAW_305/" Id="docRId3" Type="http://schemas.openxmlformats.org/officeDocument/2006/relationships/hyperlink" /><Relationship Target="styles.xml" Id="docRId5" Type="http://schemas.openxmlformats.org/officeDocument/2006/relationships/styles" /><Relationship TargetMode="External" Target="https://www.rzd.ru/" Id="docRId0" Type="http://schemas.openxmlformats.org/officeDocument/2006/relationships/hyperlink" /><Relationship TargetMode="External" Target="https://www.consultant.ru/document/cons_doc_LAW_166504/" Id="docRId2" Type="http://schemas.openxmlformats.org/officeDocument/2006/relationships/hyperlink" /><Relationship Target="numbering.xml" Id="docRId4" Type="http://schemas.openxmlformats.org/officeDocument/2006/relationships/numbering" /></Relationships>
</file>